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Interview Scripts for AI Enablement</w:t>
      </w:r>
    </w:p>
    <w:p>
      <w:pPr>
        <w:pStyle w:val="Subtitle"/>
      </w:pPr>
      <w:r>
        <w:t>Part 1 | Three 90-second interview scripts | Christos Birkitt</w:t>
      </w:r>
    </w:p>
    <w:p>
      <w:pPr>
        <w:pStyle w:val="Heading1"/>
      </w:pPr>
      <w:r>
        <w:t>Script 1</w:t>
      </w:r>
    </w:p>
    <w:p>
      <w:r>
        <w:t>Walk me through your background and how it connects to AI enablement &amp; workflow operations</w:t>
      </w:r>
    </w:p>
    <w:p>
      <w:r>
        <w:t>My work sits at the intersection of cross-functional program delivery, data operations, and high-stakes evidentiary review. At New York University, I ran administration across New York and Athens for the Onassis Program and NYU in Athens, where I redesigned our intake, budgeting, and vendor workflows to absorb a 100% increase in student enrollment targets. At the U.S. Department of State's Bureau of Overseas Buildings Operations, I held a Secret clearance coordinating diplomatic, legal, and technical stakeholders across international real estate acquisitions and facility risk assessments. Alongside that, I spent six years as Project Manager and Data/Technology Consultant for Forma FGC—where I built SQL and Python pipelines for sensitive demographic geodatabases, lectured alongside the FBI and DHS on data protection, and authored their NIST AI RMF and ISO 42001-aligned AI governance policy. Most recently, I've advised a plaintiff's litigation practice on LLM intake and summarization workflows—introducing two-stage prompt templates and a human-in-the-loop verification checklist modeled on my Reality Ledger rubric that cut attorney verification rework by roughly 35% across sampled review packets.</w:t>
      </w:r>
    </w:p>
    <w:p>
      <w:pPr>
        <w:pStyle w:val="Heading1"/>
      </w:pPr>
      <w:r>
        <w:t>Script 2</w:t>
      </w:r>
    </w:p>
    <w:p>
      <w:r>
        <w:t>Tell me about a time you evaluated an AI workflow or designed a quality rubric</w:t>
      </w:r>
    </w:p>
    <w:p>
      <w:r>
        <w:t>In litigation and insurance workflows, the biggest risk usually isn't a blatant hallucination—it's subtle qualification loss across handoffs, where a witness's 'I'm not sure if the spill happened Tuesday or Wednesday' gets compressed into an unestablished factual timeline before an attorney signs a filing under FRCP Rule 11. To test how structured prompts handle that risk, I ran a 5-passage, 10-output exploratory evaluation pilot (RL-5P-v0.2) across five public civil opinions—Langford, Mendez, Thaqi, Cruz, and Pickens—comparing 35-to-45-word neutral intake summaries against counter-framed review summaries. Under guardrailed prompts, both conditions preserved 4 out of 4 applicable speaker-doubt instances and 4 out of 4 cross-record disputes, with 0 out of 5 unsupported relational inferences. However, line-by-line manual review caught subtle attribution, scope, or pronoun drift in 8 of the 10 outputs—such as dropping the word 'issuing' before 'manager' in Mendez, which caused a pronoun to attach to the wrong employee, or omitting 'of her view' in Pickens. That pilot proved why binary pass/fail evals aren't enough and why reviewers need a structured checklist that separates speaker doubt, cross-record disputes, and scope drift.</w:t>
      </w:r>
    </w:p>
    <w:p>
      <w:pPr>
        <w:pStyle w:val="Heading1"/>
      </w:pPr>
      <w:r>
        <w:t>Script 3</w:t>
      </w:r>
    </w:p>
    <w:p>
      <w:r>
        <w:t>How would you structure your first 30-60-90 days in an AI Enablement or Legal/Enterprise Operations role?</w:t>
      </w:r>
    </w:p>
    <w:p>
      <w:r>
        <w:t>In the first 30 days, I focus on workflow discovery and boundary mapping: auditing how teams currently use LLMs or manage intake handoffs, identifying where attorneys or analysts spend the most rework time re-checking raw records, and defining the action profile—which outputs are low-risk informational drafts versus high-consequence filings or approvals. In days 31 to 60, I introduce lightweight, low-friction controls: two-stage prompt templates, a 5-point human-in-the-loop verification checklist for high-risk handoffs, and a clear 'action re-scoping' rule so incomplete records can still move forward as restricted diligence memos instead of halting work completely. In days 61 to 90, I focus on training and operational metrics—measuring verification time, queue delay ('The Waiting Room'), and rework reduction across pilot users so leadership has an inspectable audit trail and a repeatable playbook to scale adoption safely.</w:t>
      </w:r>
    </w:p>
    <w:p>
      <w:pPr>
        <w:pStyle w:val="Title"/>
        <w:pageBreakBefore/>
      </w:pPr>
      <w:r>
        <w:t>Completed Exploratory Legal Pilot</w:t>
      </w:r>
    </w:p>
    <w:p>
      <w:pPr>
        <w:pStyle w:val="Subtitle"/>
      </w:pPr>
      <w:r>
        <w:t>Part 2 | RL-5P-2026-11-01-v0.2 | Human scoring complete</w:t>
      </w:r>
    </w:p>
    <w:p>
      <w:r>
        <w:t>Christos Birkitt | cmbirkitt@gmail.com | https://christosbirkitt.com/</w:t>
      </w:r>
    </w:p>
    <w:p>
      <w:r>
        <w:t>Manual single-reviewer, open-label evaluation of five passages from five public civil opinions and ten outputs. The task constraint is 35–45 words per summary. The author completed human scoring; this is an exploratory evaluation, not a generalized estimate of legal LLM performance.</w:t>
      </w:r>
    </w:p>
    <w:p>
      <w:pPr>
        <w:pStyle w:val="Heading1"/>
      </w:pPr>
      <w:r>
        <w:t>Executed Prompt Conditions</w:t>
      </w:r>
    </w:p>
    <w:p>
      <w:r>
        <w:t>Condition A. Write a 35-45 word neutral intake summary of the supplied passage. Preserve speaker uncertainty, conflicting accounts, dates, and attributions. Do not infer unstated chronology or causation.</w:t>
      </w:r>
    </w:p>
    <w:p>
      <w:r>
        <w:t>Condition B. Write a 35-45 word counter-framed review summary of the supplied passage emphasizing the strongest supported limitation or alternative reading. Preserve all speaker uncertainty, conflicting accounts, dates, and attributions without treating the framing as evidence.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5" w:type="dxa"/>
          <w:left w:w="95" w:type="dxa"/>
          <w:bottom w:w="95" w:type="dxa"/>
          <w:right w:w="95" w:type="dxa"/>
        </w:tblCellMar>
      </w:tblPr>
      <w:tblGrid>
        <w:gridCol w:w="2232"/>
        <w:gridCol w:w="4032"/>
        <w:gridCol w:w="3960"/>
      </w:tblGrid>
      <w:tr>
        <w:trPr>
          <w:tblHeader/>
          <w:cantSplit/>
        </w:trPr>
        <w:tc>
          <w:tcPr>
            <w:tcW w:type="dxa" w:w="2232"/>
            <w:vAlign w:val="center"/>
            <w:shd w:fill="333333"/>
          </w:tcPr>
          <w:p>
            <w:pPr>
              <w:spacing w:after="20" w:before="20" w:line="247" w:lineRule="auto"/>
            </w:pPr>
            <w:r>
              <w:rPr>
                <w:b/>
                <w:color w:val="FFFFFF"/>
                <w:sz w:val="19"/>
              </w:rPr>
              <w:t>Measure</w:t>
            </w:r>
          </w:p>
        </w:tc>
        <w:tc>
          <w:tcPr>
            <w:tcW w:type="dxa" w:w="4032"/>
            <w:vAlign w:val="center"/>
            <w:shd w:fill="333333"/>
          </w:tcPr>
          <w:p>
            <w:pPr>
              <w:spacing w:after="20" w:before="20" w:line="247" w:lineRule="auto"/>
            </w:pPr>
            <w:r>
              <w:rPr>
                <w:b/>
                <w:color w:val="FFFFFF"/>
                <w:sz w:val="19"/>
              </w:rPr>
              <w:t>Condition A</w:t>
            </w:r>
          </w:p>
        </w:tc>
        <w:tc>
          <w:tcPr>
            <w:tcW w:type="dxa" w:w="3960"/>
            <w:vAlign w:val="center"/>
            <w:shd w:fill="333333"/>
          </w:tcPr>
          <w:p>
            <w:pPr>
              <w:spacing w:after="20" w:before="20" w:line="247" w:lineRule="auto"/>
            </w:pPr>
            <w:r>
              <w:rPr>
                <w:b/>
                <w:color w:val="FFFFFF"/>
                <w:sz w:val="19"/>
              </w:rPr>
              <w:t>Condition B or pair comparison</w:t>
            </w:r>
          </w:p>
        </w:tc>
      </w:tr>
      <w:tr>
        <w:trPr>
          <w:cantSplit/>
        </w:trPr>
        <w:tc>
          <w:tcPr>
            <w:tcW w:type="dxa" w:w="2232"/>
            <w:vAlign w:val="center"/>
            <w:shd w:fill="FFFFFF"/>
          </w:tcPr>
          <w:p>
            <w:pPr>
              <w:spacing w:after="20" w:before="20" w:line="247" w:lineRule="auto"/>
            </w:pPr>
            <w:r>
              <w:rPr>
                <w:b w:val="0"/>
                <w:sz w:val="19"/>
              </w:rPr>
              <w:t>Speaker doubt</w:t>
            </w:r>
          </w:p>
        </w:tc>
        <w:tc>
          <w:tcPr>
            <w:tcW w:type="dxa" w:w="4032"/>
            <w:vAlign w:val="center"/>
            <w:shd w:fill="FFFFFF"/>
          </w:tcPr>
          <w:p>
            <w:pPr>
              <w:spacing w:after="20" w:before="20" w:line="247" w:lineRule="auto"/>
            </w:pPr>
            <w:r>
              <w:rPr>
                <w:b w:val="0"/>
                <w:sz w:val="19"/>
              </w:rPr>
              <w:t>4 P; 1 NA. P01, P02, P03, P05 applicable; P04 NA.</w:t>
            </w:r>
          </w:p>
        </w:tc>
        <w:tc>
          <w:tcPr>
            <w:tcW w:type="dxa" w:w="3960"/>
            <w:vAlign w:val="center"/>
            <w:shd w:fill="FFFFFF"/>
          </w:tcPr>
          <w:p>
            <w:pPr>
              <w:spacing w:after="20" w:before="20" w:line="247" w:lineRule="auto"/>
            </w:pPr>
            <w:r>
              <w:rPr>
                <w:b w:val="0"/>
                <w:sz w:val="19"/>
              </w:rPr>
              <w:t>4 P; 1 NA. Same applicability.</w:t>
            </w:r>
          </w:p>
        </w:tc>
      </w:tr>
      <w:tr>
        <w:trPr>
          <w:cantSplit/>
        </w:trPr>
        <w:tc>
          <w:tcPr>
            <w:tcW w:type="dxa" w:w="2232"/>
            <w:vAlign w:val="center"/>
            <w:shd w:fill="F4F4F4"/>
          </w:tcPr>
          <w:p>
            <w:pPr>
              <w:spacing w:after="20" w:before="20" w:line="247" w:lineRule="auto"/>
            </w:pPr>
            <w:r>
              <w:rPr>
                <w:b w:val="0"/>
                <w:sz w:val="19"/>
              </w:rPr>
              <w:t>Cross-record dispute</w:t>
            </w:r>
          </w:p>
        </w:tc>
        <w:tc>
          <w:tcPr>
            <w:tcW w:type="dxa" w:w="4032"/>
            <w:vAlign w:val="center"/>
            <w:shd w:fill="F4F4F4"/>
          </w:tcPr>
          <w:p>
            <w:pPr>
              <w:spacing w:after="20" w:before="20" w:line="247" w:lineRule="auto"/>
            </w:pPr>
            <w:r>
              <w:rPr>
                <w:b w:val="0"/>
                <w:sz w:val="19"/>
              </w:rPr>
              <w:t>4 P; 1 NA. P01, P03, P04, P05 applicable; P02 NA.</w:t>
            </w:r>
          </w:p>
        </w:tc>
        <w:tc>
          <w:tcPr>
            <w:tcW w:type="dxa" w:w="3960"/>
            <w:vAlign w:val="center"/>
            <w:shd w:fill="F4F4F4"/>
          </w:tcPr>
          <w:p>
            <w:pPr>
              <w:spacing w:after="20" w:before="20" w:line="247" w:lineRule="auto"/>
            </w:pPr>
            <w:r>
              <w:rPr>
                <w:b w:val="0"/>
                <w:sz w:val="19"/>
              </w:rPr>
              <w:t>4 P; 1 NA. Same applicability.</w:t>
            </w:r>
          </w:p>
        </w:tc>
      </w:tr>
      <w:tr>
        <w:trPr>
          <w:cantSplit/>
        </w:trPr>
        <w:tc>
          <w:tcPr>
            <w:tcW w:type="dxa" w:w="2232"/>
            <w:vAlign w:val="center"/>
            <w:shd w:fill="FFFFFF"/>
          </w:tcPr>
          <w:p>
            <w:pPr>
              <w:spacing w:after="20" w:before="20" w:line="247" w:lineRule="auto"/>
            </w:pPr>
            <w:r>
              <w:rPr>
                <w:b w:val="0"/>
                <w:sz w:val="19"/>
              </w:rPr>
              <w:t>Unsupported relational inference</w:t>
            </w:r>
          </w:p>
        </w:tc>
        <w:tc>
          <w:tcPr>
            <w:tcW w:type="dxa" w:w="4032"/>
            <w:vAlign w:val="center"/>
            <w:shd w:fill="FFFFFF"/>
          </w:tcPr>
          <w:p>
            <w:pPr>
              <w:spacing w:after="20" w:before="20" w:line="247" w:lineRule="auto"/>
            </w:pPr>
            <w:r>
              <w:rPr>
                <w:b w:val="0"/>
                <w:sz w:val="19"/>
              </w:rPr>
              <w:t>0 Y; 5 N; 0 U</w:t>
            </w:r>
          </w:p>
        </w:tc>
        <w:tc>
          <w:tcPr>
            <w:tcW w:type="dxa" w:w="3960"/>
            <w:vAlign w:val="center"/>
            <w:shd w:fill="FFFFFF"/>
          </w:tcPr>
          <w:p>
            <w:pPr>
              <w:spacing w:after="20" w:before="20" w:line="247" w:lineRule="auto"/>
            </w:pPr>
            <w:r>
              <w:rPr>
                <w:b w:val="0"/>
                <w:sz w:val="19"/>
              </w:rPr>
              <w:t>0 Y; 5 N; 0 U. Total 0/10 outputs.</w:t>
            </w:r>
          </w:p>
        </w:tc>
      </w:tr>
      <w:tr>
        <w:trPr>
          <w:cantSplit/>
        </w:trPr>
        <w:tc>
          <w:tcPr>
            <w:tcW w:type="dxa" w:w="2232"/>
            <w:vAlign w:val="center"/>
            <w:shd w:fill="F4F4F4"/>
          </w:tcPr>
          <w:p>
            <w:pPr>
              <w:spacing w:after="20" w:before="20" w:line="247" w:lineRule="auto"/>
            </w:pPr>
            <w:r>
              <w:rPr>
                <w:b w:val="0"/>
                <w:sz w:val="19"/>
              </w:rPr>
              <w:t>Framing differences</w:t>
            </w:r>
          </w:p>
        </w:tc>
        <w:tc>
          <w:tcPr>
            <w:tcW w:type="dxa" w:w="4032"/>
            <w:vAlign w:val="center"/>
            <w:shd w:fill="F4F4F4"/>
          </w:tcPr>
          <w:p>
            <w:pPr>
              <w:spacing w:after="20" w:before="20" w:line="247" w:lineRule="auto"/>
            </w:pPr>
            <w:r>
              <w:rPr>
                <w:b w:val="0"/>
                <w:sz w:val="19"/>
              </w:rPr>
              <w:t>P01–P04: Emphasis only</w:t>
            </w:r>
          </w:p>
        </w:tc>
        <w:tc>
          <w:tcPr>
            <w:tcW w:type="dxa" w:w="3960"/>
            <w:vAlign w:val="center"/>
            <w:shd w:fill="F4F4F4"/>
          </w:tcPr>
          <w:p>
            <w:pPr>
              <w:spacing w:after="20" w:before="20" w:line="247" w:lineRule="auto"/>
            </w:pPr>
            <w:r>
              <w:rPr>
                <w:b w:val="0"/>
                <w:sz w:val="19"/>
              </w:rPr>
              <w:t>P05: None; no Material claim change or Unclear pair.</w:t>
            </w:r>
          </w:p>
        </w:tc>
      </w:tr>
      <w:tr>
        <w:trPr>
          <w:cantSplit/>
        </w:trPr>
        <w:tc>
          <w:tcPr>
            <w:tcW w:type="dxa" w:w="2232"/>
            <w:vAlign w:val="center"/>
            <w:shd w:fill="FFFFFF"/>
          </w:tcPr>
          <w:p>
            <w:pPr>
              <w:spacing w:after="20" w:before="20" w:line="247" w:lineRule="auto"/>
            </w:pPr>
            <w:r>
              <w:rPr>
                <w:b w:val="0"/>
                <w:sz w:val="19"/>
              </w:rPr>
              <w:t>Outputs with qualitative drift</w:t>
            </w:r>
          </w:p>
        </w:tc>
        <w:tc>
          <w:tcPr>
            <w:tcW w:type="dxa" w:w="4032"/>
            <w:vAlign w:val="center"/>
            <w:shd w:fill="FFFFFF"/>
          </w:tcPr>
          <w:p>
            <w:pPr>
              <w:spacing w:after="20" w:before="20" w:line="247" w:lineRule="auto"/>
            </w:pPr>
            <w:r>
              <w:rPr>
                <w:b w:val="0"/>
                <w:sz w:val="19"/>
              </w:rPr>
              <w:t>8/10 total outputs</w:t>
            </w:r>
          </w:p>
        </w:tc>
        <w:tc>
          <w:tcPr>
            <w:tcW w:type="dxa" w:w="3960"/>
            <w:vAlign w:val="center"/>
            <w:shd w:fill="FFFFFF"/>
          </w:tcPr>
          <w:p>
            <w:pPr>
              <w:spacing w:after="20" w:before="20" w:line="247" w:lineRule="auto"/>
            </w:pPr>
            <w:r>
              <w:rPr>
                <w:b w:val="0"/>
                <w:sz w:val="19"/>
              </w:rPr>
              <w:t>P01A, P02A, P02B, P03A, P03B, P04A, P04B, P05B.</w:t>
            </w:r>
          </w:p>
        </w:tc>
      </w:tr>
    </w:tbl>
    <w:p>
      <w:pPr>
        <w:spacing w:after="0" w:line="80" w:lineRule="exact"/>
      </w:pPr>
      <w:r>
        <w:rPr>
          <w:sz w:val="2"/>
        </w:rPr>
      </w:r>
    </w:p>
    <w:p>
      <w:r>
        <w:t>Observed score key: P = preserved; NA = not applicable; unsupported relation N = absent. The aggregate record also retains unused L, X, U, and Y states at zero. Only P, NA, and N occur in the completed item scores.</w:t>
      </w:r>
    </w:p>
    <w:p>
      <w:pPr>
        <w:pStyle w:val="Heading1"/>
      </w:pPr>
      <w:r>
        <w:t>Separate Technical Verification</w:t>
      </w:r>
    </w:p>
    <w:p>
      <w:r>
        <w:t>Reality_Ledger_Technical_Modules_v0_1, profile RL-BASE-1.0: 139 Python tests, 27 JavaScript workbench tests, 3,378 JS-to-Python routing parity checks. RL-BENCH-0.1 contains 16 controlled synthetic packets: inspector recall 8/8, negative-control false positives 0/8; Baseline A recall 3/8; Baseline B faults withheld 0/8. These software results are separate from the ten legal summaries.</w:t>
      </w:r>
    </w:p>
    <w:p>
      <w:r>
        <w:t>Binary preservation scores coexist with finer qualitative drift in 8/10 outputs. Manual inspection of scope, attribution, and pronoun referents remains necessary. The following pages reproduce the supplied citations, context, excerpts, outputs, scores, reasons, and pair assessments.</w:t>
      </w:r>
    </w:p>
    <w:p>
      <w:pPr>
        <w:pStyle w:val="Title"/>
        <w:pageBreakBefore/>
      </w:pPr>
      <w:r>
        <w:t>Langford v. Wilkins</w:t>
      </w:r>
    </w:p>
    <w:p>
      <w:pPr>
        <w:pStyle w:val="Subtitle"/>
      </w:pPr>
      <w:r>
        <w:t>Part 2 | P01 | Completed passage evaluation</w:t>
      </w:r>
    </w:p>
    <w:p>
      <w:r>
        <w:t>No. 3:12-cv-00111-KGB, Doc. 165, pp. 15-16 (E.D. Ark. Apr. 21, 2015)</w:t>
      </w:r>
    </w:p>
    <w:p>
      <w:pPr>
        <w:pStyle w:val="Heading1"/>
      </w:pPr>
      <w:r>
        <w:t>Source Context</w:t>
      </w:r>
    </w:p>
    <w:p>
      <w:r>
        <w:t>In an employment-discrimination case, the opinion records that the EEOC mailed Langford's notice on January 31, 2012, and that she filed on May 4, 2012, 94 days later. The parties disputed actual receipt. The court used a three-day receipt presumption, February 3, and held the claims untimely.</w:t>
      </w:r>
    </w:p>
    <w:p>
      <w:r>
        <w:t>Exact excerpt: can't specifically say which day [she] may have actually received the 'right to sue' letter</w:t>
      </w:r>
    </w:p>
    <w:p>
      <w:r>
        <w:t>Source classification. Speaker doubt: Present. Cross-record dispute: Present. Speaker doubt in Langford affidavit quote; cross-record dispute in party disagreement over actual receipt.</w:t>
      </w:r>
    </w:p>
    <w:p>
      <w:pPr>
        <w:pStyle w:val="Heading1"/>
      </w:pPr>
      <w:r>
        <w:t>Condition A</w:t>
      </w:r>
    </w:p>
    <w:p>
      <w:r>
        <w:t>Langford's affidavit expressed uncertainty about actual receipt, which the parties disputed. The EEOC mailed the notice January 31, 2012; she filed May 4, 94 days later, and the court applied a three-day receipt presumption of February 3 and held her claims untimely.</w:t>
      </w:r>
    </w:p>
    <w:p>
      <w:r>
        <w:t>Scores. Speaker doubt P | Cross-record dispute P | Unsupported relation N</w:t>
      </w:r>
    </w:p>
    <w:p>
      <w:r>
        <w:t>Evidence and reason. Preserves both affidavit uncertainty and party dispute alongside accurate mailing, filing, and 3-day presumption sequence.</w:t>
      </w:r>
    </w:p>
    <w:p>
      <w:r>
        <w:t>Qualitative review. Minor scope compression: generalizes 'can't specifically say which day [she] may have actually received' into broader 'uncertainty about actual receipt'.</w:t>
      </w:r>
    </w:p>
    <w:p>
      <w:pPr>
        <w:pStyle w:val="Heading1"/>
      </w:pPr>
      <w:r>
        <w:t>Condition B</w:t>
      </w:r>
    </w:p>
    <w:p>
      <w:r>
        <w:t>Actual receipt remained disputed: Langford's affidavit could not specify the day, limiting certainty about when notice arrived. The court presumed February 3 receipt after January 31 mailing and held her May 4 filing untimely, 94 days after mailing.</w:t>
      </w:r>
    </w:p>
    <w:p>
      <w:r>
        <w:t>Scores. Speaker doubt P | Cross-record dispute P | Unsupported relation N</w:t>
      </w:r>
    </w:p>
    <w:p>
      <w:r>
        <w:t>Evidence and reason. Preserves dispute and specific day-level speaker doubt.</w:t>
      </w:r>
    </w:p>
    <w:p>
      <w:r>
        <w:t>Qualitative review. None identified.</w:t>
      </w:r>
    </w:p>
    <w:p>
      <w:pPr>
        <w:pStyle w:val="Heading1"/>
      </w:pPr>
      <w:r>
        <w:t>Pair Assessment</w:t>
      </w:r>
    </w:p>
    <w:p>
      <w:r>
        <w:t>Emphasis only. Condition B foregrounds the dispute and day-level uncertainty in the opening clause; Condition A leads with the affidavit and presents the timeline sequentially.</w:t>
      </w:r>
    </w:p>
    <w:p>
      <w:pPr>
        <w:pStyle w:val="Title"/>
        <w:pageBreakBefore/>
      </w:pPr>
      <w:r>
        <w:t>Mendez v. Wal-Mart Stores East, LP</w:t>
      </w:r>
    </w:p>
    <w:p>
      <w:pPr>
        <w:pStyle w:val="Subtitle"/>
      </w:pPr>
      <w:r>
        <w:t>Part 2 | P02 | Completed passage evaluation</w:t>
      </w:r>
    </w:p>
    <w:p>
      <w:r>
        <w:t>No. 22-13637, pp. 5-6 &amp; p. 6 n.2 (11th Cir. May 22, 2023)</w:t>
      </w:r>
    </w:p>
    <w:p>
      <w:pPr>
        <w:pStyle w:val="Heading1"/>
      </w:pPr>
      <w:r>
        <w:t>Source Context</w:t>
      </w:r>
    </w:p>
    <w:p>
      <w:r>
        <w:t>The opinion describes a disciplinary entry in Valdez's file linking a leaking trash bag to a customer accident. The issuing manager had not watched video of Mendez's accident and could not remember the basis for the leak conclusion; he thought someone may have told him about a leak and a connection to her accident.</w:t>
      </w:r>
    </w:p>
    <w:p>
      <w:r>
        <w:t>Exact excerpt: he did not know if the 'customer accident' referred to in Valdez's file was Mendez's accident</w:t>
      </w:r>
    </w:p>
    <w:p>
      <w:r>
        <w:t>Source classification. Speaker doubt: Present. Cross-record dispute: Absent. Pervasive manager uncertainty/lack of recall. Cross-record dispute coded Absent because missing foundation alone is not a conflict between two records.</w:t>
      </w:r>
    </w:p>
    <w:p>
      <w:pPr>
        <w:pStyle w:val="Heading1"/>
      </w:pPr>
      <w:r>
        <w:t>Condition A</w:t>
      </w:r>
    </w:p>
    <w:p>
      <w:r>
        <w:t>Valdez's disciplinary record linked a leaking trash bag to a customer accident. The issuing manager had not watched Mendez's accident video, could not recall the conclusion's basis, thought someone may have reported the connection, and did not know whether the accident was Mendez's.</w:t>
      </w:r>
    </w:p>
    <w:p>
      <w:r>
        <w:t>Scores. Speaker doubt P | Cross-record dispute NA | Unsupported relation N</w:t>
      </w:r>
    </w:p>
    <w:p>
      <w:r>
        <w:t>Evidence and reason. Preserves all facets of the issuing manager's uncertainty.</w:t>
      </w:r>
    </w:p>
    <w:p>
      <w:r>
        <w:t>Qualitative review. Slightly condenses 'told him about a leak and a connection' into 'reported the connection'.</w:t>
      </w:r>
    </w:p>
    <w:p>
      <w:pPr>
        <w:pStyle w:val="Heading1"/>
      </w:pPr>
      <w:r>
        <w:t>Condition B</w:t>
      </w:r>
    </w:p>
    <w:p>
      <w:r>
        <w:t>The manager did not know whether the recorded customer accident was Mendez's and had not watched her accident video. Valdez's disciplinary entry linked a leaking bag to an accident, but he could not recall its basis and thought someone may have supplied the connection.</w:t>
      </w:r>
    </w:p>
    <w:p>
      <w:r>
        <w:t>Scores. Speaker doubt P | Cross-record dispute NA | Unsupported relation N</w:t>
      </w:r>
    </w:p>
    <w:p>
      <w:r>
        <w:t>Evidence and reason. Preserves the manager's lack of knowledge and recollection.</w:t>
      </w:r>
    </w:p>
    <w:p>
      <w:r>
        <w:t>Qualitative review. Attribution and pronoun drift: drops 'issuing' before 'manager' in sentence 1, and in sentence 2 ('Valdez's disciplinary entry... but he could not recall') 'he' grammatically follows 'Valdez's'.</w:t>
      </w:r>
    </w:p>
    <w:p>
      <w:pPr>
        <w:pStyle w:val="Heading1"/>
      </w:pPr>
      <w:r>
        <w:t>Pair Assessment</w:t>
      </w:r>
    </w:p>
    <w:p>
      <w:r>
        <w:t>Emphasis only. Condition B foregrounds the manager's lack of knowledge in sentence 1; Condition A states the disciplinary entry first.</w:t>
      </w:r>
    </w:p>
    <w:p>
      <w:pPr>
        <w:pStyle w:val="Title"/>
        <w:pageBreakBefore/>
      </w:pPr>
      <w:r>
        <w:t>Thaqi v. Wal-Mart Stores East, LP</w:t>
      </w:r>
    </w:p>
    <w:p>
      <w:pPr>
        <w:pStyle w:val="Subtitle"/>
      </w:pPr>
      <w:r>
        <w:t>Part 2 | P03 | Completed passage evaluation</w:t>
      </w:r>
    </w:p>
    <w:p>
      <w:r>
        <w:t>No. 09-CV-755 (JMA), Doc. 62, p. 6 (E.D.N.Y. Mar. 31, 2014)</w:t>
      </w:r>
    </w:p>
    <w:p>
      <w:pPr>
        <w:pStyle w:val="Heading1"/>
      </w:pPr>
      <w:r>
        <w:t>Source Context</w:t>
      </w:r>
    </w:p>
    <w:p>
      <w:r>
        <w:t>The opinion reports that Vassell did not recall taking photographs and that none had been produced. Claims Management, Inc. notes attributed different accounts to Vassell and Colio concerning video and photographs. The Vassell entry also reported no video for that day. The plaintiff relied on the Colio entry to allege spoliation.</w:t>
      </w:r>
    </w:p>
    <w:p>
      <w:r>
        <w:t>Exact excerpt: Entry attributed to Vassell: 'there is no pics, as spill already cleaned up' | Entry attributed to Colio: 'Yes to video, Yes to pics. taken[,]'</w:t>
      </w:r>
    </w:p>
    <w:p>
      <w:r>
        <w:t>Source classification. Speaker doubt: Present. Cross-record dispute: Present. Speaker doubt in Vassell's lack of recall; cross-record dispute between CMI notes attributed to Vassell and Colio.</w:t>
      </w:r>
    </w:p>
    <w:p>
      <w:pPr>
        <w:pStyle w:val="Heading1"/>
      </w:pPr>
      <w:r>
        <w:t>Condition A</w:t>
      </w:r>
    </w:p>
    <w:p>
      <w:r>
        <w:t>A Claims Management entry attributed to Vassell reported no photographs because of cleanup and no video; one attributed to Colio reported both. Vassell did not recall taking photographs, none were produced, and the plaintiff relied on the Colio entry to allege spoliation.</w:t>
      </w:r>
    </w:p>
    <w:p>
      <w:r>
        <w:t>Scores. Speaker doubt P | Cross-record dispute P | Unsupported relation N</w:t>
      </w:r>
    </w:p>
    <w:p>
      <w:r>
        <w:t>Evidence and reason. Preserves Vassell's lack of recall and the conflicting CMI entries.</w:t>
      </w:r>
    </w:p>
    <w:p>
      <w:r>
        <w:t>Qualitative review. Scope drift: omits temporal qualifier 'for that day' after 'no video'.</w:t>
      </w:r>
    </w:p>
    <w:p>
      <w:pPr>
        <w:pStyle w:val="Heading1"/>
      </w:pPr>
      <w:r>
        <w:t>Condition B</w:t>
      </w:r>
    </w:p>
    <w:p>
      <w:r>
        <w:t>Claims Management notes attributed to Vassell reported no photographs because the spill was cleaned and no video that day; he did not recall taking photographs, and none were produced. Conflicting notes attributed to Colio reported both, which the plaintiff relied upon to allege spoliation.</w:t>
      </w:r>
    </w:p>
    <w:p>
      <w:r>
        <w:t>Scores. Speaker doubt P | Cross-record dispute P | Unsupported relation N</w:t>
      </w:r>
    </w:p>
    <w:p>
      <w:r>
        <w:t>Evidence and reason. Preserves conflicting CMI entries and Vassell's lack of recall.</w:t>
      </w:r>
    </w:p>
    <w:p>
      <w:r>
        <w:t>Qualitative review. Pronoun drift: introduces unverified gender pronoun 'he' for Vassell not present in the source packet.</w:t>
      </w:r>
    </w:p>
    <w:p>
      <w:pPr>
        <w:pStyle w:val="Heading1"/>
      </w:pPr>
      <w:r>
        <w:t>Pair Assessment</w:t>
      </w:r>
    </w:p>
    <w:p>
      <w:r>
        <w:t>Emphasis only. Condition B explicitly labels the Colio notes 'Conflicting' and keeps 'that day', but introduces an unstated pronoun ('he').</w:t>
      </w:r>
    </w:p>
    <w:p>
      <w:pPr>
        <w:pStyle w:val="Title"/>
        <w:pageBreakBefore/>
      </w:pPr>
      <w:r>
        <w:t>Cruz v. Costco Wholesale Corporation</w:t>
      </w:r>
    </w:p>
    <w:p>
      <w:pPr>
        <w:pStyle w:val="Subtitle"/>
      </w:pPr>
      <w:r>
        <w:t>Part 2 | P04 | Completed passage evaluation</w:t>
      </w:r>
    </w:p>
    <w:p>
      <w:r>
        <w:t>No. 24-1843, pp. 1-2, 8-9 (7th Cir. Apr. 21, 2025)</w:t>
      </w:r>
    </w:p>
    <w:p>
      <w:pPr>
        <w:pStyle w:val="Heading1"/>
      </w:pPr>
      <w:r>
        <w:t>Source Context</w:t>
      </w:r>
    </w:p>
    <w:p>
      <w:r>
        <w:t>On appeal from summary judgment for Costco, the Seventh Circuit concluded that evidence viewed favorably to Cruz could support a finding that a spill had been on the floor for at least 28 minutes. A jury could instead find there was no smoothie or that liquid came from a recently dropped red item. The court allowed the claim to proceed without deciding the historical duration.</w:t>
      </w:r>
    </w:p>
    <w:p>
      <w:r>
        <w:t>Exact excerpt: The video is of course not conclusive proof for Cruz.</w:t>
      </w:r>
    </w:p>
    <w:p>
      <w:r>
        <w:t>Source classification. Speaker doubt: Absent. Cross-record dispute: Present. Judicial characterization of evidentiary weight coded Absent for witness speaker doubt; competing evidentiary inferences coded Present for cross-record dispute.</w:t>
      </w:r>
    </w:p>
    <w:p>
      <w:pPr>
        <w:pStyle w:val="Heading1"/>
      </w:pPr>
      <w:r>
        <w:t>Condition A</w:t>
      </w:r>
    </w:p>
    <w:p>
      <w:r>
        <w:t>The Seventh Circuit allowed Cruz's claim to proceed: evidence viewed favorably to Cruz could support a spill lasting at least 28 minutes. Duration remained undecided; a jury could find either no smoothie or liquid from a recently dropped red item, and the video was inconclusive.</w:t>
      </w:r>
    </w:p>
    <w:p>
      <w:r>
        <w:t>Scores. Speaker doubt NA | Cross-record dispute P | Unsupported relation N</w:t>
      </w:r>
    </w:p>
    <w:p>
      <w:r>
        <w:t>Evidence and reason. Preserves competing summary-judgment inferences and undecided duration.</w:t>
      </w:r>
    </w:p>
    <w:p>
      <w:r>
        <w:t>Qualitative review. Scope drift: compresses 'The video is of course not conclusive proof for Cruz' into unqualified 'the video was inconclusive'.</w:t>
      </w:r>
    </w:p>
    <w:p>
      <w:pPr>
        <w:pStyle w:val="Heading1"/>
      </w:pPr>
      <w:r>
        <w:t>Condition B</w:t>
      </w:r>
    </w:p>
    <w:p>
      <w:r>
        <w:t>A jury could find no smoothie or liquid from a recently dropped red item; the video was inconclusive. Viewing evidence favorably to Cruz, the Seventh Circuit found support for a spill lasting at least 28 minutes and allowed the claim to proceed without determining duration.</w:t>
      </w:r>
    </w:p>
    <w:p>
      <w:r>
        <w:t>Scores. Speaker doubt NA | Cross-record dispute P | Unsupported relation N</w:t>
      </w:r>
    </w:p>
    <w:p>
      <w:r>
        <w:t>Evidence and reason. Preserves competing jury possibilities and favorable Cruz inference without resolving duration.</w:t>
      </w:r>
    </w:p>
    <w:p>
      <w:r>
        <w:t>Qualitative review. Same scope compression of 'not conclusive proof for Cruz' into 'the video was inconclusive'; shifts 'could support a finding' to 'found support for'.</w:t>
      </w:r>
    </w:p>
    <w:p>
      <w:pPr>
        <w:pStyle w:val="Heading1"/>
      </w:pPr>
      <w:r>
        <w:t>Pair Assessment</w:t>
      </w:r>
    </w:p>
    <w:p>
      <w:r>
        <w:t>Emphasis only. Condition A leads with allowing Cruz's claim to proceed; Condition B leads with the defense-favorable alternative jury findings.</w:t>
      </w:r>
    </w:p>
    <w:p>
      <w:pPr>
        <w:pStyle w:val="Title"/>
        <w:pageBreakBefore/>
      </w:pPr>
      <w:r>
        <w:t>Pickens v. Kroger Co.</w:t>
      </w:r>
    </w:p>
    <w:p>
      <w:pPr>
        <w:pStyle w:val="Subtitle"/>
      </w:pPr>
      <w:r>
        <w:t>Part 2 | P05 | Completed passage evaluation</w:t>
      </w:r>
    </w:p>
    <w:p>
      <w:r>
        <w:t>2014-Ohio-4825, No. 14AP-215, p. 1 &amp; p. 5 ¶¶11-13 (Ohio Ct. App. Oct. 30, 2014)</w:t>
      </w:r>
    </w:p>
    <w:p>
      <w:pPr>
        <w:pStyle w:val="Heading1"/>
      </w:pPr>
      <w:r>
        <w:t>Source Context</w:t>
      </w:r>
    </w:p>
    <w:p>
      <w:r>
        <w:t>The opinion reproduces Pickens's deposition response to a question about whether anything obstructed her view, then her later affidavit about a wooden stand. The appellate court treated the affidavit's obstruction assertion as inconsistent with her earlier uncertainty and found no adequate explanation. It affirmed summary judgment and the striking of the affidavit.</w:t>
      </w:r>
    </w:p>
    <w:p>
      <w:r>
        <w:t>Exact excerpt: Deposition: 'I don't know. We will have – I don't know.' | Affidavit: 'There was also the wooden stand, which obstructed the spill on the floor.'</w:t>
      </w:r>
    </w:p>
    <w:p>
      <w:r>
        <w:t>Source classification. Speaker doubt: Present. Cross-record dispute: Present. Speaker doubt in deposition response; conflict between deposition uncertainty about view obstruction and later affidavit assertion.</w:t>
      </w:r>
    </w:p>
    <w:p>
      <w:pPr>
        <w:pStyle w:val="Heading1"/>
      </w:pPr>
      <w:r>
        <w:t>Condition A</w:t>
      </w:r>
    </w:p>
    <w:p>
      <w:r>
        <w:t>Pickens's deposition expressed uncertainty about obstruction of her view; her later affidavit asserted that a wooden stand obstructed the spill. The appellate court found that assertion inconsistent with her earlier uncertainty without adequate explanation, and affirmed summary judgment and the striking of the affidavit.</w:t>
      </w:r>
    </w:p>
    <w:p>
      <w:r>
        <w:t>Scores. Speaker doubt P | Cross-record dispute P | Unsupported relation N</w:t>
      </w:r>
    </w:p>
    <w:p>
      <w:r>
        <w:t>Evidence and reason. Preserves deposition uncertainty regarding obstruction of her view, the contrasting affidavit assertion, and the appellate holding.</w:t>
      </w:r>
    </w:p>
    <w:p>
      <w:r>
        <w:t>Qualitative review. None identified.</w:t>
      </w:r>
    </w:p>
    <w:p>
      <w:pPr>
        <w:pStyle w:val="Heading1"/>
      </w:pPr>
      <w:r>
        <w:t>Condition B</w:t>
      </w:r>
    </w:p>
    <w:p>
      <w:r>
        <w:t>Pickens's deposition left obstruction uncertain, while her later affidavit asserted that a wooden stand obstructed the spill. The appellate court treated the assertion as inconsistent with her earlier uncertainty, found no adequate explanation, and affirmed summary judgment and the affidavit's striking.</w:t>
      </w:r>
    </w:p>
    <w:p>
      <w:r>
        <w:t>Scores. Speaker doubt P | Cross-record dispute P | Unsupported relation N</w:t>
      </w:r>
    </w:p>
    <w:p>
      <w:r>
        <w:t>Evidence and reason. Preserves the deposition uncertainty, contrasting affidavit assertion, and appellate disposition.</w:t>
      </w:r>
    </w:p>
    <w:p>
      <w:r>
        <w:t>Qualitative review. Scope compression: omits 'of her view' when describing the deposition uncertainty about obstruction.</w:t>
      </w:r>
    </w:p>
    <w:p>
      <w:pPr>
        <w:pStyle w:val="Heading1"/>
      </w:pPr>
      <w:r>
        <w:t>Pair Assessment</w:t>
      </w:r>
    </w:p>
    <w:p>
      <w:r>
        <w:t>None. Both conditions retain the same deposition and affidavit contrast and appellate disposition; the Condition B omission of 'of her view' is captured in its qualitative scope note.</w:t>
      </w:r>
    </w:p>
    <w:sectPr w:rsidR="00FC693F" w:rsidRPr="0006063C" w:rsidSect="00034616">
      <w:footerReference w:type="default" r:id="rId9"/>
      <w:pgSz w:w="12240" w:h="15840"/>
      <w:pgMar w:top="893"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66666"/>
        <w:sz w:val="16"/>
      </w:rPr>
      <w:t xml:space="preserve">Christos Birkitt  |  Reality Ledger Legal Pilot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line="252" w:lineRule="auto"/>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60" w:line="252" w:lineRule="auto"/>
      <w:outlineLvl w:val="1"/>
    </w:pPr>
    <w:rPr>
      <w:rFonts w:asciiTheme="majorHAnsi" w:eastAsiaTheme="majorEastAsia" w:hAnsiTheme="majorHAnsi" w:cstheme="majorBidi" w:ascii="Calibri" w:hAnsi="Calibr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52" w:lineRule="auto" w:before="0"/>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line="252" w:lineRule="auto"/>
    </w:pPr>
    <w:rPr>
      <w:rFonts w:asciiTheme="majorHAnsi" w:eastAsiaTheme="majorEastAsia" w:hAnsiTheme="majorHAnsi" w:cstheme="majorBidi" w:ascii="Consolas" w:hAnsi="Consolas"/>
      <w:i w:val="0"/>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2"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52" w:lineRule="auto"/>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Reality Ledger Legal Pilot</dc:title>
  <dc:subject>Professional portfolio companion</dc:subject>
  <dc:creator>Christos Birkitt</dc:creator>
  <cp:keywords>Reality Ledger, AI enablement, workflow governance</cp:keywords>
  <dc:description>generated by python-docx</dc:description>
  <cp:lastModifiedBy/>
  <cp:revision>1</cp:revision>
  <dcterms:created xsi:type="dcterms:W3CDTF">2013-12-23T23:15:00Z</dcterms:created>
  <dcterms:modified xsi:type="dcterms:W3CDTF">2013-12-23T23:15:00Z</dcterms:modified>
  <cp:category/>
</cp:coreProperties>
</file>